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вожатской деятельности</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«Основы вожатской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«Основы вожатской деятельности»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68.327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действующего законодательства в сфере образования и организации отдыха и оздоровления детей.</w:t>
            </w:r>
          </w:p>
          <w:p>
            <w:pPr>
              <w:jc w:val="both"/>
              <w:spacing w:after="0" w:line="240" w:lineRule="auto"/>
              <w:rPr>
                <w:sz w:val="24"/>
                <w:szCs w:val="24"/>
              </w:rPr>
            </w:pPr>
            <w:r>
              <w:rPr>
                <w:rFonts w:ascii="Times New Roman" w:hAnsi="Times New Roman" w:cs="Times New Roman"/>
                <w:color w:val="#000000"/>
                <w:sz w:val="24"/>
                <w:szCs w:val="24"/>
              </w:rPr>
              <w:t> 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pPr>
              <w:jc w:val="both"/>
              <w:spacing w:after="0" w:line="240" w:lineRule="auto"/>
              <w:rPr>
                <w:sz w:val="24"/>
                <w:szCs w:val="24"/>
              </w:rPr>
            </w:pPr>
            <w:r>
              <w:rPr>
                <w:rFonts w:ascii="Times New Roman" w:hAnsi="Times New Roman" w:cs="Times New Roman"/>
                <w:color w:val="#000000"/>
                <w:sz w:val="24"/>
                <w:szCs w:val="24"/>
              </w:rPr>
              <w:t> 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pPr>
              <w:jc w:val="both"/>
              <w:spacing w:after="0" w:line="240" w:lineRule="auto"/>
              <w:rPr>
                <w:sz w:val="24"/>
                <w:szCs w:val="24"/>
              </w:rPr>
            </w:pPr>
            <w:r>
              <w:rPr>
                <w:rFonts w:ascii="Times New Roman" w:hAnsi="Times New Roman" w:cs="Times New Roman"/>
                <w:color w:val="#000000"/>
                <w:sz w:val="24"/>
                <w:szCs w:val="24"/>
              </w:rPr>
              <w:t> 	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450.26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 Методика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и формы проведения дел коллективной, групповой, индивидуальной деятельности</w:t>
            </w:r>
          </w:p>
          <w:p>
            <w:pPr>
              <w:jc w:val="both"/>
              <w:spacing w:after="0" w:line="240" w:lineRule="auto"/>
              <w:rPr>
                <w:sz w:val="24"/>
                <w:szCs w:val="24"/>
              </w:rPr>
            </w:pPr>
            <w:r>
              <w:rPr>
                <w:rFonts w:ascii="Times New Roman" w:hAnsi="Times New Roman" w:cs="Times New Roman"/>
                <w:color w:val="#000000"/>
                <w:sz w:val="24"/>
                <w:szCs w:val="24"/>
              </w:rPr>
              <w:t> 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 технология подготовки и проведения коллективного творческого дела.</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pPr>
              <w:jc w:val="both"/>
              <w:spacing w:after="0" w:line="240" w:lineRule="auto"/>
              <w:rPr>
                <w:sz w:val="24"/>
                <w:szCs w:val="24"/>
              </w:rPr>
            </w:pPr>
            <w:r>
              <w:rPr>
                <w:rFonts w:ascii="Times New Roman" w:hAnsi="Times New Roman" w:cs="Times New Roman"/>
                <w:color w:val="#000000"/>
                <w:sz w:val="24"/>
                <w:szCs w:val="24"/>
              </w:rPr>
              <w:t> 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pPr>
              <w:jc w:val="both"/>
              <w:spacing w:after="0" w:line="240" w:lineRule="auto"/>
              <w:rPr>
                <w:sz w:val="24"/>
                <w:szCs w:val="24"/>
              </w:rPr>
            </w:pPr>
            <w:r>
              <w:rPr>
                <w:rFonts w:ascii="Times New Roman" w:hAnsi="Times New Roman" w:cs="Times New Roman"/>
                <w:color w:val="#000000"/>
                <w:sz w:val="24"/>
                <w:szCs w:val="24"/>
              </w:rPr>
              <w:t> Туризм и краеведение. Песенное и танцевальное творчество. Творческое развитие как направление деятельности РДШ.</w:t>
            </w:r>
          </w:p>
          <w:p>
            <w:pPr>
              <w:jc w:val="both"/>
              <w:spacing w:after="0" w:line="240" w:lineRule="auto"/>
              <w:rPr>
                <w:sz w:val="24"/>
                <w:szCs w:val="24"/>
              </w:rPr>
            </w:pPr>
            <w:r>
              <w:rPr>
                <w:rFonts w:ascii="Times New Roman" w:hAnsi="Times New Roman" w:cs="Times New Roman"/>
                <w:color w:val="#000000"/>
                <w:sz w:val="24"/>
                <w:szCs w:val="24"/>
              </w:rPr>
              <w:t> Патриотическое воспитание.</w:t>
            </w:r>
          </w:p>
          <w:p>
            <w:pPr>
              <w:jc w:val="both"/>
              <w:spacing w:after="0" w:line="240" w:lineRule="auto"/>
              <w:rPr>
                <w:sz w:val="24"/>
                <w:szCs w:val="24"/>
              </w:rPr>
            </w:pPr>
            <w:r>
              <w:rPr>
                <w:rFonts w:ascii="Times New Roman" w:hAnsi="Times New Roman" w:cs="Times New Roman"/>
                <w:color w:val="#000000"/>
                <w:sz w:val="24"/>
                <w:szCs w:val="24"/>
              </w:rPr>
              <w:t> Экологическое воспитание.Профориентация.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Информационно-медийное направление деятельности РДШ. Ценностно-смысловое содержание деятельности по информационно-медийному направлению РДШ.</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информационно-медийной деятельности РДШ.</w:t>
            </w:r>
          </w:p>
          <w:p>
            <w:pPr>
              <w:jc w:val="both"/>
              <w:spacing w:after="0" w:line="240" w:lineRule="auto"/>
              <w:rPr>
                <w:sz w:val="24"/>
                <w:szCs w:val="24"/>
              </w:rPr>
            </w:pPr>
            <w:r>
              <w:rPr>
                <w:rFonts w:ascii="Times New Roman" w:hAnsi="Times New Roman" w:cs="Times New Roman"/>
                <w:color w:val="#000000"/>
                <w:sz w:val="24"/>
                <w:szCs w:val="24"/>
              </w:rPr>
              <w:t> Различные подходы к типологии СМИ. Организация работы пресс-центра.</w:t>
            </w:r>
          </w:p>
          <w:p>
            <w:pPr>
              <w:jc w:val="both"/>
              <w:spacing w:after="0" w:line="240" w:lineRule="auto"/>
              <w:rPr>
                <w:sz w:val="24"/>
                <w:szCs w:val="24"/>
              </w:rPr>
            </w:pPr>
            <w:r>
              <w:rPr>
                <w:rFonts w:ascii="Times New Roman" w:hAnsi="Times New Roman" w:cs="Times New Roman"/>
                <w:color w:val="#000000"/>
                <w:sz w:val="24"/>
                <w:szCs w:val="24"/>
              </w:rPr>
              <w:t> Информационная безопасность.</w:t>
            </w:r>
          </w:p>
          <w:p>
            <w:pPr>
              <w:jc w:val="both"/>
              <w:spacing w:after="0" w:line="240" w:lineRule="auto"/>
              <w:rPr>
                <w:sz w:val="24"/>
                <w:szCs w:val="24"/>
              </w:rPr>
            </w:pPr>
            <w:r>
              <w:rPr>
                <w:rFonts w:ascii="Times New Roman" w:hAnsi="Times New Roman" w:cs="Times New Roman"/>
                <w:color w:val="#000000"/>
                <w:sz w:val="24"/>
                <w:szCs w:val="24"/>
              </w:rPr>
              <w:t> Игры с использованием информационных технологий.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вожатого за физическое и психологическое благополучие ребенка.</w:t>
            </w:r>
          </w:p>
          <w:p>
            <w:pPr>
              <w:jc w:val="both"/>
              <w:spacing w:after="0" w:line="240" w:lineRule="auto"/>
              <w:rPr>
                <w:sz w:val="24"/>
                <w:szCs w:val="24"/>
              </w:rPr>
            </w:pPr>
            <w:r>
              <w:rPr>
                <w:rFonts w:ascii="Times New Roman" w:hAnsi="Times New Roman" w:cs="Times New Roman"/>
                <w:color w:val="#000000"/>
                <w:sz w:val="24"/>
                <w:szCs w:val="24"/>
              </w:rPr>
              <w:t> Алгоритмы поведения вожатого в экстремальных ситуациях.</w:t>
            </w:r>
          </w:p>
          <w:p>
            <w:pPr>
              <w:jc w:val="both"/>
              <w:spacing w:after="0" w:line="240" w:lineRule="auto"/>
              <w:rPr>
                <w:sz w:val="24"/>
                <w:szCs w:val="24"/>
              </w:rPr>
            </w:pPr>
            <w:r>
              <w:rPr>
                <w:rFonts w:ascii="Times New Roman" w:hAnsi="Times New Roman" w:cs="Times New Roman"/>
                <w:color w:val="#000000"/>
                <w:sz w:val="24"/>
                <w:szCs w:val="24"/>
              </w:rPr>
              <w:t> Первая доврачебная помощь. Дети с ОВЗ как объект особого внимания сотрудников образовательной организации и детских оздоровительных лагерей.</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вожатской деятельности»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Сажина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Матюхиной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http://www.iprbookshop.ru/75969.html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вожатская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https://urait.ru/bcode/447362</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https://urait.ru/bcode/455450</w:t>
            </w:r>
            <w:r>
              <w:rPr/>
              <w:t xml:space="preserve"> </w:t>
            </w:r>
          </w:p>
        </w:tc>
      </w:tr>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Акмамбетова,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Миляева,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Ремизова,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Романовская,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Рыкова,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Тарабановская,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Хафизуллина,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Шакиров,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Тарабановской,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Астрахань:</w:t>
            </w:r>
            <w:r>
              <w:rPr/>
              <w:t xml:space="preserve"> </w:t>
            </w:r>
            <w:r>
              <w:rPr>
                <w:rFonts w:ascii="Times New Roman" w:hAnsi="Times New Roman" w:cs="Times New Roman"/>
                <w:color w:val="#000000"/>
                <w:sz w:val="24"/>
                <w:szCs w:val="24"/>
              </w:rPr>
              <w:t>Астраханский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«Астраханский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978-5-9926-1151-9.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http://www.iprbookshop.ru/99508.html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Толокнеева,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http://www.iprbookshop.ru/99440.html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летнего</w:t>
            </w:r>
            <w:r>
              <w:rPr/>
              <w:t xml:space="preserve"> </w:t>
            </w:r>
            <w:r>
              <w:rPr>
                <w:rFonts w:ascii="Times New Roman" w:hAnsi="Times New Roman" w:cs="Times New Roman"/>
                <w:color w:val="#000000"/>
                <w:sz w:val="24"/>
                <w:szCs w:val="24"/>
              </w:rPr>
              <w:t>отдыха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Вайндорф-Сысоева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https://urait.ru/bcode/437283</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https://urait.ru/bcode/448874</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021.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2023-2024_ФГОС3++2023_Бак-ЗФО-ПО(ФК)(23)_plx_Основы вожатской деятельности</dc:title>
  <dc:creator>FastReport.NET</dc:creator>
</cp:coreProperties>
</file>